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4DF" w:rsidRDefault="00617645" w:rsidP="00FF1139">
      <w:pPr>
        <w:jc w:val="center"/>
        <w:sectPr w:rsidR="00CB54DF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531.75pt;margin-top:117pt;width:173.25pt;height:7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" fillcolor="#dae1e8" strokecolor="#365f91 [2404]" strokeweight="4.5pt">
            <v:stroke linestyle="thickThin"/>
            <v:textbox>
              <w:txbxContent>
                <w:sdt>
                  <w:sdtPr>
                    <w:rPr>
                      <w:rFonts w:asciiTheme="minorHAnsi" w:hAnsiTheme="minorHAnsi" w:cstheme="minorHAnsi"/>
                      <w:color w:val="4A442A" w:themeColor="background2" w:themeShade="40"/>
                      <w:szCs w:val="32"/>
                    </w:rPr>
                    <w:alias w:val="Company"/>
                    <w:id w:val="311589224"/>
                    <w:placeholder>
                      <w:docPart w:val="12DBF5D158514234AC7FB3FD946825E1"/>
                    </w:placeholder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EndPr/>
                  <w:sdtContent>
                    <w:p w:rsidR="007754C7" w:rsidRDefault="007754C7" w:rsidP="00FF1139">
                      <w:pPr>
                        <w:pStyle w:val="BrochureTitle"/>
                        <w:jc w:val="center"/>
                      </w:pPr>
                      <w:r w:rsidRPr="00566BAB">
                        <w:rPr>
                          <w:rFonts w:asciiTheme="minorHAnsi" w:hAnsiTheme="minorHAnsi" w:cstheme="minorHAnsi"/>
                          <w:color w:val="4A442A" w:themeColor="background2" w:themeShade="40"/>
                          <w:szCs w:val="32"/>
                        </w:rPr>
                        <w:t>Investigations and Fraud Management</w:t>
                      </w:r>
                    </w:p>
                  </w:sdtContent>
                </w:sdt>
              </w:txbxContent>
            </v:textbox>
            <w10:wrap anchorx="margin" anchory="page"/>
          </v:shape>
        </w:pict>
      </w:r>
      <w:r>
        <w:rPr>
          <w:noProof/>
        </w:rPr>
        <w:pict>
          <v:shape id="Text Box 5" o:spid="_x0000_s1027" type="#_x0000_t202" style="position:absolute;left:0;text-align:left;margin-left:0;margin-top:0;width:211.9pt;height:139.6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" fillcolor="#4f81bd [3204]" strokecolor="#365f91 [2404]" strokeweight="4.5pt">
            <v:fill opacity="0" color2="#b8cce4 [1300]" rotate="t" focusposition=",1" focussize="" focus="100%" type="gradientRadial">
              <o:fill v:ext="view" type="gradientCenter"/>
            </v:fill>
            <v:stroke linestyle="thickThin"/>
            <v:textbox inset=",7.2pt,,7.2pt">
              <w:txbxContent>
                <w:sdt>
                  <w:sdtPr>
                    <w:rPr>
                      <w:rFonts w:asciiTheme="minorHAnsi" w:hAnsiTheme="minorHAnsi" w:cstheme="minorHAnsi"/>
                    </w:rPr>
                    <w:alias w:val="Company"/>
                    <w:id w:val="311589225"/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EndPr/>
                  <w:sdtContent>
                    <w:p w:rsidR="007754C7" w:rsidRDefault="007754C7" w:rsidP="00566BAB">
                      <w:pPr>
                        <w:pStyle w:val="ContactInformationHeading"/>
                        <w:jc w:val="center"/>
                      </w:pPr>
                      <w:r w:rsidRPr="00566BAB">
                        <w:rPr>
                          <w:rFonts w:asciiTheme="minorHAnsi" w:hAnsiTheme="minorHAnsi" w:cstheme="minorHAnsi"/>
                        </w:rPr>
                        <w:t>Investigations and Fraud Management</w:t>
                      </w:r>
                    </w:p>
                  </w:sdtContent>
                </w:sdt>
                <w:sdt>
                  <w:sdtPr>
                    <w:alias w:val="Address"/>
                    <w:id w:val="311589226"/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7754C7" w:rsidRDefault="00566BAB" w:rsidP="00FF1139">
                      <w:pPr>
                        <w:pStyle w:val="ContactInformation"/>
                        <w:jc w:val="center"/>
                      </w:pPr>
                      <w:r>
                        <w:t>State Capitol Complex</w:t>
                      </w:r>
                      <w:r>
                        <w:br/>
                        <w:t>Building 6, Room 817-B</w:t>
                      </w:r>
                    </w:p>
                  </w:sdtContent>
                </w:sdt>
                <w:p w:rsidR="007754C7" w:rsidRDefault="007754C7" w:rsidP="00FF1139">
                  <w:pPr>
                    <w:pStyle w:val="ContactInformation"/>
                    <w:jc w:val="center"/>
                  </w:pPr>
                  <w:r>
                    <w:t xml:space="preserve">Phone: </w:t>
                  </w:r>
                  <w:sdt>
                    <w:sdtPr>
                      <w:alias w:val="Phone"/>
                      <w:id w:val="311589227"/>
                      <w:dataBinding w:prefixMappings="xmlns:ns0='http://schemas.microsoft.com/office/2006/coverPageProps'" w:xpath="/ns0:CoverPageProperties[1]/ns0:CompanyPhone[1]" w:storeItemID="{55AF091B-3C7A-41E3-B477-F2FDAA23CFDA}"/>
                      <w:text/>
                    </w:sdtPr>
                    <w:sdtEndPr/>
                    <w:sdtContent>
                      <w:r>
                        <w:t>(304) 558-1970</w:t>
                      </w:r>
                    </w:sdtContent>
                  </w:sdt>
                </w:p>
                <w:p w:rsidR="007754C7" w:rsidRDefault="007754C7" w:rsidP="00FF1139">
                  <w:pPr>
                    <w:pStyle w:val="ContactInformation"/>
                    <w:jc w:val="center"/>
                  </w:pPr>
                  <w:r>
                    <w:t xml:space="preserve">Fax: </w:t>
                  </w:r>
                  <w:sdt>
                    <w:sdtPr>
                      <w:alias w:val="Fax"/>
                      <w:id w:val="311589228"/>
                      <w:dataBinding w:prefixMappings="xmlns:ns0='http://schemas.microsoft.com/office/2006/coverPageProps'" w:xpath="/ns0:CoverPageProperties[1]/ns0:CompanyFax[1]" w:storeItemID="{55AF091B-3C7A-41E3-B477-F2FDAA23CFDA}"/>
                      <w:text/>
                    </w:sdtPr>
                    <w:sdtEndPr/>
                    <w:sdtContent>
                      <w:r>
                        <w:t>(304) 558-2363</w:t>
                      </w:r>
                    </w:sdtContent>
                  </w:sdt>
                </w:p>
                <w:p w:rsidR="007754C7" w:rsidRDefault="007754C7" w:rsidP="00FF1139">
                  <w:pPr>
                    <w:pStyle w:val="WebSiteAddress"/>
                    <w:jc w:val="center"/>
                  </w:pPr>
                </w:p>
              </w:txbxContent>
            </v:textbox>
            <w10:wrap anchorx="page" anchory="margin"/>
          </v:shape>
        </w:pict>
      </w:r>
      <w:r>
        <w:rPr>
          <w:noProof/>
        </w:rPr>
        <w:pict>
          <v:rect id="Rectangle 4" o:spid="_x0000_s1028" style="position:absolute;left:0;text-align:left;margin-left:518.2pt;margin-top:-.3pt;width:201.6pt;height:54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" fillcolor="#938953 [1614]" stroked="f">
            <v:fill opacity="0" color2="#ddd8c2 [2894]" focusposition=",1" focussize="" focus="100%" type="gradientRadial">
              <o:fill v:ext="view" type="gradientCenter"/>
            </v:fill>
            <v:textbox inset=",252pt">
              <w:txbxContent>
                <w:p w:rsidR="007754C7" w:rsidRDefault="007754C7" w:rsidP="000F7310">
                  <w:pPr>
                    <w:pStyle w:val="BrochureSubtitle2"/>
                    <w:spacing w:before="0" w:after="0" w:line="240" w:lineRule="auto"/>
                    <w:jc w:val="both"/>
                    <w:rPr>
                      <w:i w:val="0"/>
                      <w:color w:val="4F81BD" w:themeColor="accent1"/>
                      <w:sz w:val="24"/>
                      <w:szCs w:val="24"/>
                    </w:rPr>
                  </w:pPr>
                  <w:r w:rsidRPr="000F7310">
                    <w:rPr>
                      <w:i w:val="0"/>
                      <w:color w:val="4F81BD" w:themeColor="accent1"/>
                      <w:sz w:val="24"/>
                      <w:szCs w:val="24"/>
                    </w:rPr>
                    <w:t>The Investigations and Fraud Management Unit (IFM) has the responsibility for conducting general investigations of suspected recipient misrepresentation primarily in the Department’s Income Maintenance and Social Services Programs.</w:t>
                  </w:r>
                </w:p>
                <w:p w:rsidR="007754C7" w:rsidRDefault="007754C7" w:rsidP="000F7310">
                  <w:pPr>
                    <w:pStyle w:val="BrochureSubtitle2"/>
                    <w:spacing w:before="0" w:after="0" w:line="240" w:lineRule="auto"/>
                    <w:jc w:val="both"/>
                    <w:rPr>
                      <w:i w:val="0"/>
                      <w:color w:val="4F81BD" w:themeColor="accent1"/>
                      <w:sz w:val="24"/>
                      <w:szCs w:val="24"/>
                    </w:rPr>
                  </w:pPr>
                </w:p>
                <w:p w:rsidR="007754C7" w:rsidRPr="000F7310" w:rsidRDefault="007754C7" w:rsidP="000F7310">
                  <w:pPr>
                    <w:pStyle w:val="BrochureSubtitle2"/>
                    <w:spacing w:before="0" w:after="0" w:line="240" w:lineRule="auto"/>
                    <w:jc w:val="both"/>
                    <w:rPr>
                      <w:i w:val="0"/>
                      <w:color w:val="4F81BD" w:themeColor="accent1"/>
                      <w:sz w:val="24"/>
                      <w:szCs w:val="24"/>
                    </w:rPr>
                  </w:pPr>
                  <w:r>
                    <w:rPr>
                      <w:i w:val="0"/>
                      <w:color w:val="4F81BD" w:themeColor="accent1"/>
                      <w:sz w:val="24"/>
                      <w:szCs w:val="24"/>
                    </w:rPr>
                    <w:t>I</w:t>
                  </w:r>
                  <w:r w:rsidRPr="000F7310">
                    <w:rPr>
                      <w:i w:val="0"/>
                      <w:color w:val="4F81BD" w:themeColor="accent1"/>
                      <w:sz w:val="24"/>
                      <w:szCs w:val="24"/>
                    </w:rPr>
                    <w:t>FM also has the responsibility for pursuing Supplemental Nutrition Assistance Program (formerly known as Food Stamps), and cash assistance repayments.</w:t>
                  </w:r>
                </w:p>
                <w:p w:rsidR="007754C7" w:rsidRDefault="007754C7" w:rsidP="00FA4783">
                  <w:pPr>
                    <w:pStyle w:val="BrochureSubtitle2"/>
                    <w:spacing w:before="0" w:after="0" w:line="240" w:lineRule="auto"/>
                    <w:outlineLvl w:val="0"/>
                    <w:rPr>
                      <w:color w:val="4F81BD" w:themeColor="accent1"/>
                    </w:rPr>
                  </w:pPr>
                </w:p>
                <w:p w:rsidR="007754C7" w:rsidRDefault="007754C7" w:rsidP="00FA4783">
                  <w:pPr>
                    <w:pStyle w:val="BrochureSubtitle2"/>
                    <w:spacing w:before="0" w:after="0" w:line="240" w:lineRule="auto"/>
                    <w:outlineLvl w:val="0"/>
                    <w:rPr>
                      <w:color w:val="4F81BD" w:themeColor="accent1"/>
                    </w:rPr>
                  </w:pPr>
                </w:p>
                <w:p w:rsidR="007754C7" w:rsidRDefault="007754C7" w:rsidP="00FA4783">
                  <w:pPr>
                    <w:pStyle w:val="BrochureSubtitle2"/>
                    <w:spacing w:before="0" w:after="0" w:line="240" w:lineRule="auto"/>
                    <w:outlineLvl w:val="0"/>
                    <w:rPr>
                      <w:color w:val="4F81BD" w:themeColor="accent1"/>
                    </w:rPr>
                  </w:pPr>
                </w:p>
                <w:p w:rsidR="007754C7" w:rsidRPr="00FA4783" w:rsidRDefault="007754C7" w:rsidP="00FA4783">
                  <w:pPr>
                    <w:pStyle w:val="BrochureSubtitle2"/>
                    <w:spacing w:before="0" w:after="0" w:line="240" w:lineRule="auto"/>
                    <w:outlineLvl w:val="0"/>
                    <w:rPr>
                      <w:color w:val="4F81BD" w:themeColor="accent1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Rectangle 3" o:spid="_x0000_s1029" style="position:absolute;left:0;text-align:left;margin-left:763.2pt;margin-top:0;width:201.6pt;height:18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" fillcolor="#4f81bd [3204]" stroked="f">
            <v:fill color2="#b8cce4 [1300]" focusposition=",1" focussize="" focus="100%" type="gradientRadial">
              <o:fill v:ext="view" type="gradientCenter"/>
            </v:fill>
            <v:textbox>
              <w:txbxContent>
                <w:p w:rsidR="007754C7" w:rsidRDefault="007754C7"/>
              </w:txbxContent>
            </v:textbox>
            <w10:wrap anchorx="margin" anchory="margin"/>
          </v:rect>
        </w:pict>
      </w:r>
      <w:r>
        <w:rPr>
          <w:noProof/>
        </w:rPr>
        <w:pict>
          <v:rect id="Rectangle 2" o:spid="_x0000_s1030" style="position:absolute;left:0;text-align:left;margin-left:0;margin-top:0;width:201.6pt;height:540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" fillcolor="#938953 [1614]" stroked="f">
            <v:fill opacity="0" color2="#ddd8c2 [2894]" focusposition=",1" focussize="" focus="100%" type="gradientRadial">
              <o:fill v:ext="view" type="gradientCenter"/>
            </v:fill>
            <v:textbox>
              <w:txbxContent>
                <w:p w:rsidR="007754C7" w:rsidRDefault="007754C7">
                  <w:pPr>
                    <w:pStyle w:val="BrochureCopy"/>
                  </w:pPr>
                </w:p>
                <w:p w:rsidR="007754C7" w:rsidRDefault="007754C7" w:rsidP="008338EC">
                  <w:pPr>
                    <w:pStyle w:val="BrochureList"/>
                    <w:numPr>
                      <w:ilvl w:val="0"/>
                      <w:numId w:val="0"/>
                    </w:numPr>
                    <w:ind w:left="360"/>
                    <w:jc w:val="center"/>
                  </w:pPr>
                </w:p>
                <w:p w:rsidR="007754C7" w:rsidRDefault="007754C7">
                  <w:pPr>
                    <w:pStyle w:val="BrochureCopy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270760" cy="3093720"/>
                        <wp:effectExtent l="57150" t="57150" r="34290" b="30480"/>
                        <wp:docPr id="3" name="Picture 2" descr="C:\Documents and Settings\we5645\My Documents\My Pictures\Microsoft Clip Organizer\j038719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we5645\My Documents\My Pictures\Microsoft Clip Organizer\j038719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9969" cy="31062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7150" cmpd="thickThin"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</v:rect>
        </w:pict>
      </w:r>
    </w:p>
    <w:p w:rsidR="00CB54DF" w:rsidRDefault="00CE3333">
      <w:r>
        <w:rPr>
          <w:noProof/>
        </w:rPr>
        <w:lastRenderedPageBreak/>
        <w:drawing>
          <wp:inline distT="0" distB="0" distL="0" distR="0">
            <wp:extent cx="2507860" cy="2185670"/>
            <wp:effectExtent l="57150" t="57150" r="45085" b="43180"/>
            <wp:docPr id="9" name="Picture 2" descr="C:\Documents and Settings\we5645\My Documents\My Pictures\Microsoft Clip Organizer\j0438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we5645\My Documents\My Pictures\Microsoft Clip Organizer\j043842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2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711" cy="2192512"/>
                    </a:xfrm>
                    <a:prstGeom prst="rect">
                      <a:avLst/>
                    </a:prstGeom>
                    <a:noFill/>
                    <a:ln w="57150" cmpd="thickThin">
                      <a:solidFill>
                        <a:schemeClr val="accent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4DF" w:rsidRPr="00CE3333" w:rsidRDefault="00CB54DF">
      <w:pPr>
        <w:pStyle w:val="SectionHeading1"/>
        <w:rPr>
          <w:sz w:val="18"/>
          <w:szCs w:val="18"/>
        </w:rPr>
      </w:pPr>
    </w:p>
    <w:p w:rsidR="000F7310" w:rsidRDefault="000F7310" w:rsidP="008338EC">
      <w:pPr>
        <w:pStyle w:val="BrochureCopy"/>
        <w:rPr>
          <w:color w:val="4F81BD" w:themeColor="accent1"/>
        </w:rPr>
      </w:pPr>
    </w:p>
    <w:p w:rsidR="000F7310" w:rsidRPr="000F7310" w:rsidRDefault="000F7310" w:rsidP="008338EC">
      <w:pPr>
        <w:pStyle w:val="BrochureCopy"/>
        <w:rPr>
          <w:rFonts w:asciiTheme="majorHAnsi" w:hAnsiTheme="majorHAnsi"/>
          <w:b/>
          <w:color w:val="4A442A" w:themeColor="background2" w:themeShade="40"/>
          <w:sz w:val="24"/>
          <w:szCs w:val="24"/>
        </w:rPr>
      </w:pPr>
      <w:r w:rsidRPr="000F7310">
        <w:rPr>
          <w:rFonts w:asciiTheme="majorHAnsi" w:hAnsiTheme="majorHAnsi"/>
          <w:b/>
          <w:color w:val="4A442A" w:themeColor="background2" w:themeShade="40"/>
          <w:sz w:val="24"/>
          <w:szCs w:val="24"/>
        </w:rPr>
        <w:t>Internal Affairs</w:t>
      </w:r>
    </w:p>
    <w:p w:rsidR="00CB54DF" w:rsidRPr="00D11979" w:rsidRDefault="008338EC" w:rsidP="007754C7">
      <w:pPr>
        <w:pStyle w:val="BrochureCopy"/>
        <w:jc w:val="both"/>
        <w:rPr>
          <w:color w:val="4F81BD" w:themeColor="accent1"/>
        </w:rPr>
      </w:pPr>
      <w:r w:rsidRPr="00D11979">
        <w:rPr>
          <w:color w:val="4F81BD" w:themeColor="accent1"/>
        </w:rPr>
        <w:t>Upon request and with the approval of the Inspector General, the Investigations and Frau</w:t>
      </w:r>
      <w:r w:rsidR="00B052B7">
        <w:rPr>
          <w:color w:val="4F81BD" w:themeColor="accent1"/>
        </w:rPr>
        <w:t>d Management Unit conducts intra</w:t>
      </w:r>
      <w:r w:rsidRPr="00D11979">
        <w:rPr>
          <w:color w:val="4F81BD" w:themeColor="accent1"/>
        </w:rPr>
        <w:t>-agency investigations involving allegations of inappropriate employee activity, which might result in administrative (disciplinary) action or referral for criminal prosecution.  All such investigations are of a highly-sensitive nature.  Every effort is made to maintain confidentiality and to protect the individual privacy rights</w:t>
      </w:r>
      <w:r w:rsidR="00D65ABA">
        <w:rPr>
          <w:color w:val="4F81BD" w:themeColor="accent1"/>
        </w:rPr>
        <w:t xml:space="preserve"> of all potential investigative</w:t>
      </w:r>
      <w:r w:rsidRPr="00D11979">
        <w:rPr>
          <w:color w:val="4F81BD" w:themeColor="accent1"/>
        </w:rPr>
        <w:t xml:space="preserve"> witnesses or suspects.</w:t>
      </w:r>
    </w:p>
    <w:p w:rsidR="00BC7F35" w:rsidRDefault="00BC7F35">
      <w:pPr>
        <w:pStyle w:val="SectionHeading2"/>
      </w:pPr>
    </w:p>
    <w:p w:rsidR="000F7310" w:rsidRDefault="000F7310">
      <w:pPr>
        <w:pStyle w:val="SectionHeading2"/>
      </w:pPr>
    </w:p>
    <w:p w:rsidR="002D3403" w:rsidRDefault="002D3403">
      <w:pPr>
        <w:pStyle w:val="SectionHeading2"/>
      </w:pPr>
    </w:p>
    <w:p w:rsidR="00944CAF" w:rsidRDefault="00944CAF">
      <w:pPr>
        <w:pStyle w:val="SectionHeading2"/>
      </w:pPr>
    </w:p>
    <w:p w:rsidR="002D3403" w:rsidRDefault="002D3403">
      <w:pPr>
        <w:pStyle w:val="SectionHeading2"/>
      </w:pPr>
    </w:p>
    <w:p w:rsidR="00CB54DF" w:rsidRPr="00A72F18" w:rsidRDefault="00FA4783">
      <w:pPr>
        <w:pStyle w:val="SectionHeading2"/>
        <w:rPr>
          <w:b/>
          <w:color w:val="4A442A" w:themeColor="background2" w:themeShade="40"/>
          <w:sz w:val="24"/>
          <w:szCs w:val="24"/>
        </w:rPr>
      </w:pPr>
      <w:r w:rsidRPr="00A72F18">
        <w:rPr>
          <w:b/>
          <w:color w:val="4A442A" w:themeColor="background2" w:themeShade="40"/>
          <w:sz w:val="24"/>
          <w:szCs w:val="24"/>
        </w:rPr>
        <w:lastRenderedPageBreak/>
        <w:t>Criminal Investigations</w:t>
      </w:r>
    </w:p>
    <w:p w:rsidR="00CB54DF" w:rsidRPr="00D11979" w:rsidRDefault="00FA4783" w:rsidP="007754C7">
      <w:pPr>
        <w:pStyle w:val="BrochureCopy"/>
        <w:jc w:val="both"/>
        <w:rPr>
          <w:color w:val="4F81BD" w:themeColor="accent1"/>
        </w:rPr>
      </w:pPr>
      <w:r w:rsidRPr="00D11979">
        <w:rPr>
          <w:color w:val="4F81BD" w:themeColor="accent1"/>
        </w:rPr>
        <w:t>The Criminal Investigations sub-unit investigates allegations of suspected welfare fraud or other criminal activity involving recipients of DHHR benefits or services.  Other special investigations may include complaints involving (non-Medicaid) providers, vendors or grantees who receive program-related benefits or financial payments for services from DHHR.  Findings are compiled in detailed written investigative reports which are delivered to county prosecuting attorneys to evaluate for further action.</w:t>
      </w:r>
    </w:p>
    <w:p w:rsidR="00BC7F35" w:rsidRPr="00D11979" w:rsidRDefault="00BC7F35" w:rsidP="00FA4783">
      <w:pPr>
        <w:pStyle w:val="BrochureCopy"/>
        <w:rPr>
          <w:color w:val="4F81BD" w:themeColor="accent1"/>
        </w:rPr>
      </w:pPr>
    </w:p>
    <w:p w:rsidR="00CB54DF" w:rsidRPr="00A72F18" w:rsidRDefault="00FA4783">
      <w:pPr>
        <w:pStyle w:val="SectionHeading1"/>
        <w:rPr>
          <w:b/>
          <w:color w:val="4A442A" w:themeColor="background2" w:themeShade="40"/>
          <w:sz w:val="24"/>
          <w:szCs w:val="24"/>
        </w:rPr>
      </w:pPr>
      <w:r w:rsidRPr="00A72F18">
        <w:rPr>
          <w:b/>
          <w:color w:val="4A442A" w:themeColor="background2" w:themeShade="40"/>
          <w:sz w:val="24"/>
          <w:szCs w:val="24"/>
        </w:rPr>
        <w:t>Front-End Fraud</w:t>
      </w:r>
    </w:p>
    <w:p w:rsidR="00CB54DF" w:rsidRPr="00D11979" w:rsidRDefault="00FA4783" w:rsidP="007754C7">
      <w:pPr>
        <w:pStyle w:val="BrochureCopy"/>
        <w:jc w:val="both"/>
        <w:rPr>
          <w:color w:val="4F81BD" w:themeColor="accent1"/>
        </w:rPr>
      </w:pPr>
      <w:r w:rsidRPr="00D11979">
        <w:rPr>
          <w:color w:val="4F81BD" w:themeColor="accent1"/>
        </w:rPr>
        <w:t>The Front-End Fraud sub-unit performs a more thorough, pre-certification review of applicant/recipient eligibility on cases meeting a certain criteria.  The sub-unit is currently operative in seven (7) West Virginia counties.  This effort is supported by federal agencies providing related, matching program funds as a highly-effective means of preventing recipient abuse or fraud before it occurs.</w:t>
      </w:r>
    </w:p>
    <w:p w:rsidR="00BC7F35" w:rsidRPr="006A402B" w:rsidRDefault="00BC7F35" w:rsidP="00BC7F35">
      <w:pPr>
        <w:pStyle w:val="SectionHeading2"/>
        <w:rPr>
          <w:sz w:val="18"/>
          <w:szCs w:val="18"/>
        </w:rPr>
      </w:pPr>
    </w:p>
    <w:p w:rsidR="00BC7F35" w:rsidRPr="00A72F18" w:rsidRDefault="00BC7F35" w:rsidP="00BC7F35">
      <w:pPr>
        <w:pStyle w:val="SectionHeading2"/>
        <w:rPr>
          <w:b/>
          <w:color w:val="4A442A" w:themeColor="background2" w:themeShade="40"/>
          <w:sz w:val="24"/>
          <w:szCs w:val="24"/>
        </w:rPr>
      </w:pPr>
      <w:r w:rsidRPr="00A72F18">
        <w:rPr>
          <w:b/>
          <w:color w:val="4A442A" w:themeColor="background2" w:themeShade="40"/>
          <w:sz w:val="24"/>
          <w:szCs w:val="24"/>
        </w:rPr>
        <w:t>Claims and Collections</w:t>
      </w:r>
    </w:p>
    <w:p w:rsidR="00BC7F35" w:rsidRPr="00D11979" w:rsidRDefault="00BC7F35" w:rsidP="007754C7">
      <w:pPr>
        <w:pStyle w:val="BrochureCopy"/>
        <w:jc w:val="both"/>
        <w:rPr>
          <w:color w:val="4F81BD" w:themeColor="accent1"/>
        </w:rPr>
      </w:pPr>
      <w:r w:rsidRPr="00D11979">
        <w:rPr>
          <w:color w:val="4F81BD" w:themeColor="accent1"/>
        </w:rPr>
        <w:t>The Claims and Collections sub-unit is responsible for determining certain recipient benefit overpayment claims; negotiating appropriate repayment agreements; imposing any applicable program sanctions for violators; collecting the overpaid benefits amounts; and, the ongoing monitoring as to the status of DHHR debtor-claims.</w:t>
      </w:r>
    </w:p>
    <w:p w:rsidR="00976909" w:rsidRDefault="00976909">
      <w:pPr>
        <w:pStyle w:val="SectionHeading2"/>
      </w:pPr>
    </w:p>
    <w:p w:rsidR="000F7310" w:rsidRDefault="000F7310">
      <w:pPr>
        <w:pStyle w:val="SectionHeading2"/>
      </w:pPr>
    </w:p>
    <w:p w:rsidR="00F83D6B" w:rsidRPr="00F83D6B" w:rsidRDefault="00F83D6B">
      <w:pPr>
        <w:pStyle w:val="SectionHeading2"/>
        <w:rPr>
          <w:b/>
          <w:color w:val="4A442A" w:themeColor="background2" w:themeShade="40"/>
          <w:sz w:val="32"/>
          <w:szCs w:val="32"/>
        </w:rPr>
      </w:pPr>
      <w:r w:rsidRPr="00F83D6B">
        <w:rPr>
          <w:b/>
          <w:color w:val="4A442A" w:themeColor="background2" w:themeShade="40"/>
          <w:sz w:val="32"/>
          <w:szCs w:val="32"/>
        </w:rPr>
        <w:lastRenderedPageBreak/>
        <w:t>Did you know</w:t>
      </w:r>
      <w:proofErr w:type="gramStart"/>
      <w:r w:rsidRPr="00F83D6B">
        <w:rPr>
          <w:b/>
          <w:color w:val="4A442A" w:themeColor="background2" w:themeShade="40"/>
          <w:sz w:val="32"/>
          <w:szCs w:val="32"/>
        </w:rPr>
        <w:t>…</w:t>
      </w:r>
      <w:proofErr w:type="gramEnd"/>
    </w:p>
    <w:p w:rsidR="00CB54DF" w:rsidRPr="00A72F18" w:rsidRDefault="00BC7F35">
      <w:pPr>
        <w:pStyle w:val="SectionHeading2"/>
        <w:rPr>
          <w:b/>
          <w:color w:val="4A442A" w:themeColor="background2" w:themeShade="40"/>
          <w:sz w:val="24"/>
          <w:szCs w:val="24"/>
        </w:rPr>
      </w:pPr>
      <w:r w:rsidRPr="00A72F18">
        <w:rPr>
          <w:b/>
          <w:color w:val="4A442A" w:themeColor="background2" w:themeShade="40"/>
          <w:sz w:val="24"/>
          <w:szCs w:val="24"/>
        </w:rPr>
        <w:t xml:space="preserve">Criminal Investigations </w:t>
      </w:r>
    </w:p>
    <w:p w:rsidR="00CB54DF" w:rsidRPr="00D11979" w:rsidRDefault="00BC7F35" w:rsidP="007754C7">
      <w:pPr>
        <w:pStyle w:val="BrochureCopy"/>
        <w:jc w:val="both"/>
        <w:rPr>
          <w:color w:val="4F81BD" w:themeColor="accent1"/>
        </w:rPr>
      </w:pPr>
      <w:r w:rsidRPr="00D11979">
        <w:rPr>
          <w:color w:val="4F81BD" w:themeColor="accent1"/>
        </w:rPr>
        <w:t>The Criminal Investigations sub-unit received 293 referrals in FY</w:t>
      </w:r>
      <w:r w:rsidR="00976909" w:rsidRPr="00D11979">
        <w:rPr>
          <w:color w:val="4F81BD" w:themeColor="accent1"/>
        </w:rPr>
        <w:t xml:space="preserve"> </w:t>
      </w:r>
      <w:r w:rsidRPr="00D11979">
        <w:rPr>
          <w:color w:val="4F81BD" w:themeColor="accent1"/>
        </w:rPr>
        <w:t>2010-2011.  Ninety-three (93) cases worth $531,635 were presented to the prosecuting attorney.  Eight</w:t>
      </w:r>
      <w:r w:rsidR="00806AF2">
        <w:rPr>
          <w:color w:val="4F81BD" w:themeColor="accent1"/>
        </w:rPr>
        <w:t>y</w:t>
      </w:r>
      <w:r w:rsidRPr="00D11979">
        <w:rPr>
          <w:color w:val="4F81BD" w:themeColor="accent1"/>
        </w:rPr>
        <w:t>-seven (87) cases worth $529,038 were presented to the grand jury.  One hundred nineteen (119) intentional program violations were established.</w:t>
      </w:r>
    </w:p>
    <w:p w:rsidR="00CB54DF" w:rsidRPr="00A72F18" w:rsidRDefault="00976909">
      <w:pPr>
        <w:pStyle w:val="SectionHeading2"/>
        <w:rPr>
          <w:b/>
          <w:color w:val="4A442A" w:themeColor="background2" w:themeShade="40"/>
          <w:sz w:val="24"/>
          <w:szCs w:val="24"/>
        </w:rPr>
      </w:pPr>
      <w:r w:rsidRPr="00A72F18">
        <w:rPr>
          <w:b/>
          <w:color w:val="4A442A" w:themeColor="background2" w:themeShade="40"/>
          <w:sz w:val="24"/>
          <w:szCs w:val="24"/>
        </w:rPr>
        <w:t>Front-End Fraud</w:t>
      </w:r>
    </w:p>
    <w:p w:rsidR="00CB54DF" w:rsidRPr="00D11979" w:rsidRDefault="00BC7F35" w:rsidP="007754C7">
      <w:pPr>
        <w:pStyle w:val="BrochureCopy"/>
        <w:jc w:val="both"/>
        <w:rPr>
          <w:color w:val="4F81BD" w:themeColor="accent1"/>
        </w:rPr>
      </w:pPr>
      <w:r w:rsidRPr="00D11979">
        <w:rPr>
          <w:color w:val="4F81BD" w:themeColor="accent1"/>
        </w:rPr>
        <w:t xml:space="preserve">The </w:t>
      </w:r>
      <w:r w:rsidR="00976909" w:rsidRPr="00D11979">
        <w:rPr>
          <w:color w:val="4F81BD" w:themeColor="accent1"/>
        </w:rPr>
        <w:t xml:space="preserve">Front-End Fraud </w:t>
      </w:r>
      <w:r w:rsidRPr="00D11979">
        <w:rPr>
          <w:color w:val="4F81BD" w:themeColor="accent1"/>
        </w:rPr>
        <w:t xml:space="preserve">sub-unit </w:t>
      </w:r>
      <w:r w:rsidR="00976909" w:rsidRPr="00D11979">
        <w:rPr>
          <w:color w:val="4F81BD" w:themeColor="accent1"/>
        </w:rPr>
        <w:t>received 1,907 referrals in FY 2010-2011.  The actual savings to DHHR was $166,128 with a projected savings of $996,768.</w:t>
      </w:r>
    </w:p>
    <w:p w:rsidR="00976909" w:rsidRPr="00A72F18" w:rsidRDefault="00976909" w:rsidP="00976909">
      <w:pPr>
        <w:pStyle w:val="SectionHeading2"/>
        <w:rPr>
          <w:b/>
          <w:color w:val="4A442A" w:themeColor="background2" w:themeShade="40"/>
          <w:sz w:val="24"/>
          <w:szCs w:val="24"/>
        </w:rPr>
      </w:pPr>
      <w:r w:rsidRPr="00A72F18">
        <w:rPr>
          <w:b/>
          <w:color w:val="4A442A" w:themeColor="background2" w:themeShade="40"/>
          <w:sz w:val="24"/>
          <w:szCs w:val="24"/>
        </w:rPr>
        <w:t>Claims and Collections</w:t>
      </w:r>
    </w:p>
    <w:p w:rsidR="00976909" w:rsidRDefault="00976909" w:rsidP="007754C7">
      <w:pPr>
        <w:pStyle w:val="BrochureCopy"/>
        <w:jc w:val="both"/>
        <w:rPr>
          <w:color w:val="4F81BD" w:themeColor="accent1"/>
        </w:rPr>
      </w:pPr>
      <w:r w:rsidRPr="00D11979">
        <w:rPr>
          <w:color w:val="4F81BD" w:themeColor="accent1"/>
        </w:rPr>
        <w:t>The Claims and Collections sub-unit established 5,260 claims worth $4,609,019 in FY 2010-2011.  They received collections in the amount of $2,927,950.  One hundred thirteen (113) intentio</w:t>
      </w:r>
      <w:r w:rsidR="00D65ABA">
        <w:rPr>
          <w:color w:val="4F81BD" w:themeColor="accent1"/>
        </w:rPr>
        <w:t>nal program violations were</w:t>
      </w:r>
      <w:r w:rsidRPr="00D11979">
        <w:rPr>
          <w:color w:val="4F81BD" w:themeColor="accent1"/>
        </w:rPr>
        <w:t xml:space="preserve"> established.</w:t>
      </w:r>
    </w:p>
    <w:p w:rsidR="00F83D6B" w:rsidRPr="00F83D6B" w:rsidRDefault="00F83D6B" w:rsidP="00976909">
      <w:pPr>
        <w:pStyle w:val="BrochureCopy"/>
        <w:rPr>
          <w:color w:val="4F81BD" w:themeColor="accent1"/>
          <w:sz w:val="6"/>
          <w:szCs w:val="6"/>
        </w:rPr>
      </w:pPr>
    </w:p>
    <w:p w:rsidR="00976909" w:rsidRDefault="00F83D6B">
      <w:pPr>
        <w:pStyle w:val="BrochureCopy"/>
      </w:pPr>
      <w:r>
        <w:rPr>
          <w:noProof/>
        </w:rPr>
        <w:drawing>
          <wp:inline distT="0" distB="0" distL="0" distR="0">
            <wp:extent cx="2743200" cy="2159000"/>
            <wp:effectExtent l="19050" t="19050" r="19050" b="127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sectPr w:rsidR="00976909" w:rsidSect="00944CAF">
      <w:pgSz w:w="15840" w:h="12240" w:orient="landscape"/>
      <w:pgMar w:top="126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645" w:rsidRDefault="00617645" w:rsidP="00226870">
      <w:pPr>
        <w:spacing w:after="0" w:line="240" w:lineRule="auto"/>
      </w:pPr>
      <w:r>
        <w:separator/>
      </w:r>
    </w:p>
  </w:endnote>
  <w:endnote w:type="continuationSeparator" w:id="0">
    <w:p w:rsidR="00617645" w:rsidRDefault="00617645" w:rsidP="00226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645" w:rsidRDefault="00617645" w:rsidP="00226870">
      <w:pPr>
        <w:spacing w:after="0" w:line="240" w:lineRule="auto"/>
      </w:pPr>
      <w:r>
        <w:separator/>
      </w:r>
    </w:p>
  </w:footnote>
  <w:footnote w:type="continuationSeparator" w:id="0">
    <w:p w:rsidR="00617645" w:rsidRDefault="00617645" w:rsidP="00226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DA7CA8"/>
    <w:multiLevelType w:val="hybridMultilevel"/>
    <w:tmpl w:val="EC06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3403"/>
    <w:rsid w:val="00082F22"/>
    <w:rsid w:val="000F7310"/>
    <w:rsid w:val="00226870"/>
    <w:rsid w:val="002C0E85"/>
    <w:rsid w:val="002D3403"/>
    <w:rsid w:val="0034745C"/>
    <w:rsid w:val="0041706B"/>
    <w:rsid w:val="00566BAB"/>
    <w:rsid w:val="005C238E"/>
    <w:rsid w:val="00617645"/>
    <w:rsid w:val="006A402B"/>
    <w:rsid w:val="007754C7"/>
    <w:rsid w:val="00806AF2"/>
    <w:rsid w:val="008338EC"/>
    <w:rsid w:val="008E7FF7"/>
    <w:rsid w:val="008F7D4A"/>
    <w:rsid w:val="00944CAF"/>
    <w:rsid w:val="00976909"/>
    <w:rsid w:val="00994759"/>
    <w:rsid w:val="00A0579F"/>
    <w:rsid w:val="00A71A69"/>
    <w:rsid w:val="00A72F18"/>
    <w:rsid w:val="00B052B7"/>
    <w:rsid w:val="00B84EBF"/>
    <w:rsid w:val="00BC7F35"/>
    <w:rsid w:val="00CB54DF"/>
    <w:rsid w:val="00CE3333"/>
    <w:rsid w:val="00D11979"/>
    <w:rsid w:val="00D65ABA"/>
    <w:rsid w:val="00DC66B0"/>
    <w:rsid w:val="00F83D6B"/>
    <w:rsid w:val="00FA4783"/>
    <w:rsid w:val="00FF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8F7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chureTitle">
    <w:name w:val="Brochure Title"/>
    <w:basedOn w:val="Normal"/>
    <w:qFormat/>
    <w:rsid w:val="00CB54DF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Title">
    <w:name w:val="Title"/>
    <w:basedOn w:val="Normal"/>
    <w:link w:val="TitleChar"/>
    <w:uiPriority w:val="4"/>
    <w:semiHidden/>
    <w:unhideWhenUsed/>
    <w:qFormat/>
    <w:rsid w:val="00CB54DF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CB54DF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54D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DF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Normal"/>
    <w:qFormat/>
    <w:rsid w:val="00CB54DF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Normal"/>
    <w:qFormat/>
    <w:rsid w:val="00CB54DF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Normal"/>
    <w:qFormat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Normal"/>
    <w:qFormat/>
    <w:rsid w:val="00CB54DF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CB54DF"/>
    <w:rPr>
      <w:sz w:val="28"/>
    </w:rPr>
  </w:style>
  <w:style w:type="paragraph" w:customStyle="1" w:styleId="CaptionHeading">
    <w:name w:val="Caption Heading"/>
    <w:basedOn w:val="Normal"/>
    <w:qFormat/>
    <w:rsid w:val="00CB54DF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Normal"/>
    <w:qFormat/>
    <w:rsid w:val="00CB54DF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Normal"/>
    <w:qFormat/>
    <w:rsid w:val="00CB54DF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Normal"/>
    <w:qFormat/>
    <w:rsid w:val="00CB54DF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Normal"/>
    <w:qFormat/>
    <w:rsid w:val="00CB54DF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CB54DF"/>
    <w:pPr>
      <w:numPr>
        <w:numId w:val="1"/>
      </w:numPr>
    </w:pPr>
  </w:style>
  <w:style w:type="paragraph" w:customStyle="1" w:styleId="D3698C1BF2294BD59E4F83170C820D561">
    <w:name w:val="D3698C1BF2294BD59E4F83170C820D561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CB54DF"/>
    <w:pPr>
      <w:spacing w:before="240" w:after="80"/>
    </w:pPr>
    <w:rPr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B84EBF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226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6870"/>
  </w:style>
  <w:style w:type="paragraph" w:styleId="Footer">
    <w:name w:val="footer"/>
    <w:basedOn w:val="Normal"/>
    <w:link w:val="FooterChar"/>
    <w:uiPriority w:val="99"/>
    <w:semiHidden/>
    <w:unhideWhenUsed/>
    <w:rsid w:val="00226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68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chureTitle">
    <w:name w:val="Brochure Title"/>
    <w:basedOn w:val="Normal"/>
    <w:qFormat/>
    <w:rsid w:val="00CB54DF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Title">
    <w:name w:val="Title"/>
    <w:basedOn w:val="Normal"/>
    <w:link w:val="TitleChar"/>
    <w:uiPriority w:val="4"/>
    <w:semiHidden/>
    <w:unhideWhenUsed/>
    <w:qFormat/>
    <w:rsid w:val="00CB54DF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CB54DF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54D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DF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Normal"/>
    <w:qFormat/>
    <w:rsid w:val="00CB54DF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Normal"/>
    <w:qFormat/>
    <w:rsid w:val="00CB54DF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Normal"/>
    <w:qFormat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Normal"/>
    <w:qFormat/>
    <w:rsid w:val="00CB54DF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CB54DF"/>
    <w:rPr>
      <w:sz w:val="28"/>
    </w:rPr>
  </w:style>
  <w:style w:type="paragraph" w:customStyle="1" w:styleId="CaptionHeading">
    <w:name w:val="Caption Heading"/>
    <w:basedOn w:val="Normal"/>
    <w:qFormat/>
    <w:rsid w:val="00CB54DF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Normal"/>
    <w:qFormat/>
    <w:rsid w:val="00CB54DF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Normal"/>
    <w:qFormat/>
    <w:rsid w:val="00CB54DF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Normal"/>
    <w:qFormat/>
    <w:rsid w:val="00CB54DF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Normal"/>
    <w:qFormat/>
    <w:rsid w:val="00CB54DF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CB54DF"/>
    <w:pPr>
      <w:numPr>
        <w:numId w:val="1"/>
      </w:numPr>
    </w:pPr>
  </w:style>
  <w:style w:type="paragraph" w:customStyle="1" w:styleId="D3698C1BF2294BD59E4F83170C820D561">
    <w:name w:val="D3698C1BF2294BD59E4F83170C820D561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CB54DF"/>
    <w:pPr>
      <w:spacing w:before="240" w:after="80"/>
    </w:pPr>
    <w:rPr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B84EBF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226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6870"/>
  </w:style>
  <w:style w:type="paragraph" w:styleId="Footer">
    <w:name w:val="footer"/>
    <w:basedOn w:val="Normal"/>
    <w:link w:val="FooterChar"/>
    <w:uiPriority w:val="99"/>
    <w:semiHidden/>
    <w:unhideWhenUsed/>
    <w:rsid w:val="00226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6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hart" Target="charts/chart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e5645\Desktop\Brochure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>
                <a:solidFill>
                  <a:schemeClr val="accent1"/>
                </a:solidFill>
              </a:rPr>
              <a:t>Referrals Received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Referrals Received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Criminal Investigations</c:v>
                </c:pt>
                <c:pt idx="1">
                  <c:v>Front-End Fraud </c:v>
                </c:pt>
                <c:pt idx="2">
                  <c:v>Claims and Collections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293</c:v>
                </c:pt>
                <c:pt idx="1">
                  <c:v>1907</c:v>
                </c:pt>
                <c:pt idx="2">
                  <c:v>5260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solidFill>
          <a:srgbClr val="D2C7B6"/>
        </a:solidFill>
      </c:spPr>
    </c:plotArea>
    <c:legend>
      <c:legendPos val="r"/>
      <c:overlay val="0"/>
    </c:legend>
    <c:plotVisOnly val="1"/>
    <c:dispBlanksAs val="zero"/>
    <c:showDLblsOverMax val="0"/>
  </c:chart>
  <c:spPr>
    <a:solidFill>
      <a:srgbClr val="D2C7B6"/>
    </a:solidFill>
    <a:ln w="57150" cmpd="thickThin">
      <a:solidFill>
        <a:schemeClr val="accent1">
          <a:lumMod val="75000"/>
        </a:schemeClr>
      </a:solidFill>
    </a:ln>
  </c:sp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DBF5D158514234AC7FB3FD94682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57924-5880-41A5-B121-E73D83A657CC}"/>
      </w:docPartPr>
      <w:docPartBody>
        <w:p w:rsidR="00D9350C" w:rsidRDefault="00EB444C">
          <w:pPr>
            <w:pStyle w:val="12DBF5D158514234AC7FB3FD946825E1"/>
          </w:pPr>
          <w:r>
            <w:t>[Adventure Works]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B444C"/>
    <w:rsid w:val="00116BA6"/>
    <w:rsid w:val="002F5B71"/>
    <w:rsid w:val="00D9350C"/>
    <w:rsid w:val="00E8012D"/>
    <w:rsid w:val="00EB444C"/>
    <w:rsid w:val="00EB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C41E0AC9EB4EE885AE4B0BF0947E38">
    <w:name w:val="7BC41E0AC9EB4EE885AE4B0BF0947E38"/>
    <w:rsid w:val="00D9350C"/>
  </w:style>
  <w:style w:type="paragraph" w:customStyle="1" w:styleId="BrochureCopy">
    <w:name w:val="Brochure Copy"/>
    <w:basedOn w:val="Normal"/>
    <w:qFormat/>
    <w:rsid w:val="00D9350C"/>
    <w:pPr>
      <w:spacing w:after="120" w:line="300" w:lineRule="auto"/>
    </w:pPr>
    <w:rPr>
      <w:rFonts w:eastAsiaTheme="minorHAnsi"/>
      <w:sz w:val="18"/>
    </w:rPr>
  </w:style>
  <w:style w:type="paragraph" w:customStyle="1" w:styleId="D1653EA9E9DE4C60A245154D832FE2A7">
    <w:name w:val="D1653EA9E9DE4C60A245154D832FE2A7"/>
    <w:rsid w:val="00D9350C"/>
  </w:style>
  <w:style w:type="paragraph" w:customStyle="1" w:styleId="72DED8D148FB4193B1B97C8E1AAB7CCF">
    <w:name w:val="72DED8D148FB4193B1B97C8E1AAB7CCF"/>
    <w:rsid w:val="00D9350C"/>
  </w:style>
  <w:style w:type="paragraph" w:customStyle="1" w:styleId="AC063BFA277C4F4695887DED95CD9C23">
    <w:name w:val="AC063BFA277C4F4695887DED95CD9C23"/>
    <w:rsid w:val="00D9350C"/>
  </w:style>
  <w:style w:type="paragraph" w:customStyle="1" w:styleId="12DBF5D158514234AC7FB3FD946825E1">
    <w:name w:val="12DBF5D158514234AC7FB3FD946825E1"/>
    <w:rsid w:val="00D9350C"/>
  </w:style>
  <w:style w:type="paragraph" w:customStyle="1" w:styleId="3B9E2A1B389F47FCB92BE154A4A592CF">
    <w:name w:val="3B9E2A1B389F47FCB92BE154A4A592CF"/>
    <w:rsid w:val="00D9350C"/>
  </w:style>
  <w:style w:type="paragraph" w:customStyle="1" w:styleId="D7BD632B033E498FBC5076AD88CF73D4">
    <w:name w:val="D7BD632B033E498FBC5076AD88CF73D4"/>
    <w:rsid w:val="00D9350C"/>
  </w:style>
  <w:style w:type="paragraph" w:customStyle="1" w:styleId="E34BED3968834E6FA278C457B83EEDD9">
    <w:name w:val="E34BED3968834E6FA278C457B83EEDD9"/>
    <w:rsid w:val="00D9350C"/>
  </w:style>
  <w:style w:type="paragraph" w:customStyle="1" w:styleId="3FA60506A9454FAEA3A3D4A314EAC7AF">
    <w:name w:val="3FA60506A9454FAEA3A3D4A314EAC7AF"/>
    <w:rsid w:val="00D9350C"/>
  </w:style>
  <w:style w:type="paragraph" w:customStyle="1" w:styleId="41A31C553DF041A6A2E2AFCF0C7B499F">
    <w:name w:val="41A31C553DF041A6A2E2AFCF0C7B499F"/>
    <w:rsid w:val="00D9350C"/>
  </w:style>
  <w:style w:type="paragraph" w:customStyle="1" w:styleId="A0368BA126FD4F7696796DF633D2DAC6">
    <w:name w:val="A0368BA126FD4F7696796DF633D2DAC6"/>
    <w:rsid w:val="00D9350C"/>
  </w:style>
  <w:style w:type="paragraph" w:customStyle="1" w:styleId="BrochureList">
    <w:name w:val="Brochure List"/>
    <w:basedOn w:val="Normal"/>
    <w:qFormat/>
    <w:rsid w:val="00D9350C"/>
    <w:pPr>
      <w:numPr>
        <w:numId w:val="1"/>
      </w:numPr>
      <w:spacing w:after="120" w:line="300" w:lineRule="auto"/>
    </w:pPr>
    <w:rPr>
      <w:rFonts w:eastAsiaTheme="minorHAnsi"/>
      <w:sz w:val="18"/>
    </w:rPr>
  </w:style>
  <w:style w:type="paragraph" w:customStyle="1" w:styleId="9EED8164F85144EDB9AAC96E2C8AD190">
    <w:name w:val="9EED8164F85144EDB9AAC96E2C8AD190"/>
    <w:rsid w:val="00D9350C"/>
  </w:style>
  <w:style w:type="paragraph" w:customStyle="1" w:styleId="127B05F5BFBF4810AF8D91EC74F8FECE">
    <w:name w:val="127B05F5BFBF4810AF8D91EC74F8FECE"/>
    <w:rsid w:val="00D9350C"/>
  </w:style>
  <w:style w:type="paragraph" w:customStyle="1" w:styleId="983E97BC588E498FA791D0C1CD21CCB9">
    <w:name w:val="983E97BC588E498FA791D0C1CD21CCB9"/>
    <w:rsid w:val="00D9350C"/>
  </w:style>
  <w:style w:type="paragraph" w:customStyle="1" w:styleId="519D834846134601940901A4E759D143">
    <w:name w:val="519D834846134601940901A4E759D143"/>
    <w:rsid w:val="00E8012D"/>
  </w:style>
  <w:style w:type="paragraph" w:customStyle="1" w:styleId="E1E4C16BE1A64205B142A35C8A7F79EF">
    <w:name w:val="E1E4C16BE1A64205B142A35C8A7F79EF"/>
    <w:rsid w:val="00E8012D"/>
  </w:style>
  <w:style w:type="paragraph" w:customStyle="1" w:styleId="54D087F0D63E45999E07468C2F5F52A8">
    <w:name w:val="54D087F0D63E45999E07468C2F5F52A8"/>
    <w:rsid w:val="00E8012D"/>
  </w:style>
  <w:style w:type="paragraph" w:customStyle="1" w:styleId="1E40752E51924012ADC20EACD02ED499">
    <w:name w:val="1E40752E51924012ADC20EACD02ED499"/>
    <w:rsid w:val="00E8012D"/>
  </w:style>
  <w:style w:type="paragraph" w:customStyle="1" w:styleId="C0C941B1E21440E6B3C4452B6989EDDD">
    <w:name w:val="C0C941B1E21440E6B3C4452B6989EDDD"/>
    <w:rsid w:val="00E801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State Capitol Complex
Building 6, Room 817-B</CompanyAddress>
  <CompanyPhone>(304) 558-1970</CompanyPhone>
  <CompanyFax>(304) 558-2363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08F6DC-0ACC-4157-A32B-7F1A83CBFA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BFA751-B17A-4CE0-B535-D8B474F3F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33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Investigations and Fraud Management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A021783</dc:creator>
  <cp:lastModifiedBy>Maher, Tina E</cp:lastModifiedBy>
  <cp:revision>5</cp:revision>
  <cp:lastPrinted>2011-09-23T11:42:00Z</cp:lastPrinted>
  <dcterms:created xsi:type="dcterms:W3CDTF">2011-09-26T17:12:00Z</dcterms:created>
  <dcterms:modified xsi:type="dcterms:W3CDTF">2012-11-02T12:22:00Z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TC100726679990</vt:lpwstr>
  </property>
</Properties>
</file>